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47C04">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晋江市市场监督管理局</w:t>
      </w:r>
    </w:p>
    <w:p w14:paraId="5562B8E4">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行政处罚决定书</w:t>
      </w:r>
    </w:p>
    <w:p w14:paraId="0F38CC42">
      <w:pPr>
        <w:wordWrap w:val="0"/>
        <w:snapToGrid w:val="0"/>
        <w:spacing w:beforeLines="100" w:afterLines="100" w:line="320" w:lineRule="exact"/>
        <w:jc w:val="center"/>
        <w:rPr>
          <w:rFonts w:ascii="仿宋_GB2312" w:hAnsi="Times New Roman" w:eastAsia="仿宋_GB2312" w:cs="仿宋_GB2312"/>
          <w:color w:val="auto"/>
          <w:sz w:val="32"/>
          <w:szCs w:val="32"/>
        </w:rPr>
      </w:pPr>
      <w:r>
        <w:rPr>
          <w:color w:val="auto"/>
        </w:rPr>
        <w:pict>
          <v:shape id="_x0000_s2050" o:spid="_x0000_s2050"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auto"/>
          <w:sz w:val="32"/>
          <w:szCs w:val="32"/>
        </w:rPr>
        <w:t>晋市监处罚[</w:t>
      </w:r>
      <w:r>
        <w:rPr>
          <w:rFonts w:ascii="仿宋_GB2312" w:hAnsi="Times New Roman" w:eastAsia="仿宋_GB2312" w:cs="仿宋_GB2312"/>
          <w:color w:val="auto"/>
          <w:sz w:val="32"/>
          <w:szCs w:val="32"/>
        </w:rPr>
        <w:t>202</w:t>
      </w:r>
      <w:r>
        <w:rPr>
          <w:rFonts w:hint="eastAsia" w:ascii="仿宋_GB2312" w:hAnsi="Times New Roman" w:eastAsia="仿宋_GB2312" w:cs="仿宋_GB2312"/>
          <w:color w:val="auto"/>
          <w:sz w:val="32"/>
          <w:szCs w:val="32"/>
          <w:lang w:val="en-US" w:eastAsia="zh-CN"/>
        </w:rPr>
        <w:t>5</w:t>
      </w:r>
      <w:r>
        <w:rPr>
          <w:rFonts w:hint="eastAsia" w:ascii="仿宋_GB2312" w:hAnsi="Times New Roman" w:eastAsia="仿宋_GB2312" w:cs="仿宋_GB2312"/>
          <w:color w:val="auto"/>
          <w:sz w:val="32"/>
          <w:szCs w:val="32"/>
        </w:rPr>
        <w:t>]</w:t>
      </w:r>
      <w:r>
        <w:rPr>
          <w:rFonts w:ascii="仿宋_GB2312" w:hAnsi="Times New Roman" w:eastAsia="仿宋_GB2312" w:cs="仿宋_GB2312"/>
          <w:color w:val="auto"/>
          <w:sz w:val="32"/>
          <w:szCs w:val="32"/>
        </w:rPr>
        <w:t>01-</w:t>
      </w:r>
      <w:r>
        <w:rPr>
          <w:rFonts w:hint="eastAsia" w:ascii="仿宋_GB2312" w:hAnsi="Times New Roman" w:eastAsia="仿宋_GB2312" w:cs="仿宋_GB2312"/>
          <w:color w:val="auto"/>
          <w:sz w:val="32"/>
          <w:szCs w:val="32"/>
          <w:lang w:val="en-US" w:eastAsia="zh-CN"/>
        </w:rPr>
        <w:t>116</w:t>
      </w:r>
      <w:r>
        <w:rPr>
          <w:rFonts w:hint="eastAsia" w:ascii="仿宋_GB2312" w:hAnsi="Times New Roman" w:eastAsia="仿宋_GB2312" w:cs="仿宋_GB2312"/>
          <w:color w:val="auto"/>
          <w:sz w:val="32"/>
          <w:szCs w:val="32"/>
        </w:rPr>
        <w:t>号</w:t>
      </w:r>
    </w:p>
    <w:p w14:paraId="138B569A">
      <w:pPr>
        <w:keepNext w:val="0"/>
        <w:keepLines w:val="0"/>
        <w:pageBreakBefore w:val="0"/>
        <w:kinsoku/>
        <w:wordWrap/>
        <w:overflowPunct/>
        <w:topLinePunct w:val="0"/>
        <w:autoSpaceDE/>
        <w:autoSpaceDN/>
        <w:bidi w:val="0"/>
        <w:adjustRightInd/>
        <w:snapToGrid w:val="0"/>
        <w:spacing w:line="440" w:lineRule="exact"/>
        <w:textAlignment w:val="auto"/>
        <w:rPr>
          <w:rFonts w:hint="eastAsia"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当事人：</w:t>
      </w:r>
      <w:r>
        <w:rPr>
          <w:rFonts w:hint="eastAsia" w:ascii="仿宋_GB2312" w:hAnsi="仿宋_GB2312" w:eastAsia="仿宋_GB2312" w:cs="仿宋_GB2312"/>
          <w:color w:val="auto"/>
          <w:sz w:val="32"/>
          <w:szCs w:val="32"/>
        </w:rPr>
        <w:t>晋江市青阳晋君小吃店</w:t>
      </w:r>
    </w:p>
    <w:p w14:paraId="587A44F0">
      <w:pPr>
        <w:keepNext w:val="0"/>
        <w:keepLines w:val="0"/>
        <w:pageBreakBefore w:val="0"/>
        <w:kinsoku/>
        <w:wordWrap/>
        <w:overflowPunct/>
        <w:topLinePunct w:val="0"/>
        <w:autoSpaceDE/>
        <w:autoSpaceDN/>
        <w:bidi w:val="0"/>
        <w:adjustRightInd/>
        <w:snapToGrid w:val="0"/>
        <w:spacing w:line="440" w:lineRule="exact"/>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主体资格证照名称：营业执照</w:t>
      </w:r>
    </w:p>
    <w:p w14:paraId="3FDF0E31">
      <w:pPr>
        <w:keepNext w:val="0"/>
        <w:keepLines w:val="0"/>
        <w:pageBreakBefore w:val="0"/>
        <w:kinsoku/>
        <w:wordWrap/>
        <w:overflowPunct/>
        <w:topLinePunct w:val="0"/>
        <w:autoSpaceDE/>
        <w:autoSpaceDN/>
        <w:bidi w:val="0"/>
        <w:adjustRightInd/>
        <w:snapToGrid w:val="0"/>
        <w:spacing w:line="440" w:lineRule="exact"/>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统一社会信用代码：</w:t>
      </w:r>
      <w:r>
        <w:rPr>
          <w:rFonts w:hint="eastAsia" w:ascii="仿宋_GB2312" w:hAnsi="仿宋_GB2312" w:eastAsia="仿宋_GB2312" w:cs="仿宋_GB2312"/>
          <w:color w:val="auto"/>
          <w:sz w:val="32"/>
          <w:szCs w:val="32"/>
        </w:rPr>
        <w:t>92350582MA2YJ4Y61L</w:t>
      </w:r>
    </w:p>
    <w:p w14:paraId="757DF41B">
      <w:pPr>
        <w:keepNext w:val="0"/>
        <w:keepLines w:val="0"/>
        <w:pageBreakBefore w:val="0"/>
        <w:kinsoku/>
        <w:wordWrap/>
        <w:overflowPunct/>
        <w:topLinePunct w:val="0"/>
        <w:autoSpaceDE/>
        <w:autoSpaceDN/>
        <w:bidi w:val="0"/>
        <w:adjustRightInd/>
        <w:snapToGrid w:val="0"/>
        <w:spacing w:line="44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经营场所：福建省泉州市晋江市青阳青华泉安中路</w:t>
      </w:r>
    </w:p>
    <w:p w14:paraId="63668BFC">
      <w:pPr>
        <w:keepNext w:val="0"/>
        <w:keepLines w:val="0"/>
        <w:pageBreakBefore w:val="0"/>
        <w:kinsoku/>
        <w:wordWrap/>
        <w:overflowPunct/>
        <w:topLinePunct w:val="0"/>
        <w:autoSpaceDE/>
        <w:autoSpaceDN/>
        <w:bidi w:val="0"/>
        <w:adjustRightInd/>
        <w:snapToGrid w:val="0"/>
        <w:spacing w:line="440" w:lineRule="exact"/>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sz w:val="32"/>
          <w:szCs w:val="32"/>
        </w:rPr>
        <w:t>经营者：李靖阳</w:t>
      </w:r>
    </w:p>
    <w:p w14:paraId="47E170DC">
      <w:pPr>
        <w:keepNext w:val="0"/>
        <w:keepLines w:val="0"/>
        <w:pageBreakBefore w:val="0"/>
        <w:kinsoku/>
        <w:wordWrap/>
        <w:overflowPunct/>
        <w:topLinePunct w:val="0"/>
        <w:autoSpaceDE/>
        <w:autoSpaceDN/>
        <w:bidi w:val="0"/>
        <w:adjustRightInd/>
        <w:snapToGrid w:val="0"/>
        <w:spacing w:line="440" w:lineRule="exact"/>
        <w:textAlignment w:val="auto"/>
        <w:rPr>
          <w:rFonts w:hint="default"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身份证号码：</w:t>
      </w:r>
      <w:r>
        <w:rPr>
          <w:rFonts w:hint="eastAsia" w:ascii="仿宋_GB2312" w:hAnsi="仿宋_GB2312" w:eastAsia="仿宋_GB2312" w:cs="仿宋_GB2312"/>
          <w:color w:val="auto"/>
          <w:sz w:val="32"/>
          <w:szCs w:val="32"/>
        </w:rPr>
        <w:t>350302</w:t>
      </w:r>
      <w:r>
        <w:rPr>
          <w:rFonts w:hint="eastAsia" w:ascii="仿宋_GB2312" w:hAnsi="仿宋_GB2312" w:eastAsia="仿宋_GB2312" w:cs="仿宋_GB2312"/>
          <w:color w:val="auto"/>
          <w:sz w:val="32"/>
          <w:szCs w:val="32"/>
          <w:lang w:val="en-US" w:eastAsia="zh-CN"/>
        </w:rPr>
        <w:t>***********</w:t>
      </w:r>
    </w:p>
    <w:p w14:paraId="26058EE6">
      <w:pPr>
        <w:keepNext w:val="0"/>
        <w:keepLines w:val="0"/>
        <w:pageBreakBefore w:val="0"/>
        <w:kinsoku/>
        <w:wordWrap/>
        <w:overflowPunct/>
        <w:topLinePunct w:val="0"/>
        <w:autoSpaceDE/>
        <w:autoSpaceDN/>
        <w:bidi w:val="0"/>
        <w:adjustRightInd/>
        <w:snapToGrid w:val="0"/>
        <w:spacing w:line="440" w:lineRule="exact"/>
        <w:textAlignment w:val="auto"/>
        <w:rPr>
          <w:rFonts w:hint="default"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联系电话：</w:t>
      </w:r>
      <w:r>
        <w:rPr>
          <w:rFonts w:hint="eastAsia" w:ascii="仿宋_GB2312" w:hAnsi="仿宋_GB2312" w:eastAsia="仿宋_GB2312" w:cs="仿宋_GB2312"/>
          <w:color w:val="auto"/>
          <w:sz w:val="32"/>
          <w:szCs w:val="32"/>
        </w:rPr>
        <w:t>188</w:t>
      </w:r>
      <w:r>
        <w:rPr>
          <w:rFonts w:hint="eastAsia" w:ascii="仿宋_GB2312" w:hAnsi="仿宋_GB2312" w:eastAsia="仿宋_GB2312" w:cs="仿宋_GB2312"/>
          <w:color w:val="auto"/>
          <w:sz w:val="32"/>
          <w:szCs w:val="32"/>
          <w:lang w:val="en-US" w:eastAsia="zh-CN"/>
        </w:rPr>
        <w:t>********</w:t>
      </w:r>
    </w:p>
    <w:p w14:paraId="1C7E4AB2">
      <w:pPr>
        <w:keepNext w:val="0"/>
        <w:keepLines w:val="0"/>
        <w:pageBreakBefore w:val="0"/>
        <w:kinsoku/>
        <w:wordWrap/>
        <w:overflowPunct/>
        <w:topLinePunct w:val="0"/>
        <w:autoSpaceDE/>
        <w:autoSpaceDN/>
        <w:bidi w:val="0"/>
        <w:adjustRightInd/>
        <w:snapToGrid w:val="0"/>
        <w:spacing w:line="440" w:lineRule="exact"/>
        <w:textAlignment w:val="auto"/>
        <w:rPr>
          <w:rFonts w:hint="eastAsia"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联系地址：</w:t>
      </w:r>
      <w:r>
        <w:rPr>
          <w:rFonts w:hint="eastAsia" w:ascii="仿宋_GB2312" w:hAnsi="仿宋_GB2312" w:eastAsia="仿宋_GB2312" w:cs="仿宋_GB2312"/>
          <w:color w:val="auto"/>
          <w:sz w:val="32"/>
          <w:szCs w:val="32"/>
        </w:rPr>
        <w:t>福建省莆田市城厢区龙桥街道瑞龙巷</w:t>
      </w:r>
    </w:p>
    <w:p w14:paraId="0BB09E4A">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2025年3月8日，本局执法人员根据投诉线索依法对位于福建省泉州市晋江市青阳青华泉安中路</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店的晋江市青阳晋君小吃店进行检查，当事人配合检查并提供营业执照和食品经营许可证。现场检查发现该店厨房内的废弃物存放容器未配盖子，不能起到防止有害生物侵入、不良气味或污水溢出等作用；与外界直接相通的前门，未设置易拆洗、不易生锈的防蝇纱网或空气幕，未能起到避免有害生物侵入的效果；食品处理区排水管道出水口未安装小于10mm的网眼或能起相同效果的防护措施；存放需冷冻保存的食品原材料的冷冻柜冷冻温度未符合食品原材料保存条件要求。即予以立案调查。</w:t>
      </w:r>
    </w:p>
    <w:p w14:paraId="466380BA">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晋江市青阳晋君小吃店是从事餐饮服务的个体工商户，持有《营业执照》和《食品经营许可证》。2025年3月8日，执法人员对当事人的经营场所进行检查时发现：该店厨房内的废弃物存放容器未配盖子，不能起到防止有害生物侵入、不良气味或污水溢出等作用；与外界直接相通的前门，未设置易拆洗、不易生锈的防蝇纱网或空气幕，未能起到避免有害生物侵入的效果；食品处理区排水管道出水口未安装小于10mm的网眼或能起相同效果的防护措施；存放需冷冻保存的食品原材料的冷冻柜冷冻温度未符合食品原材料保存条件要求；当事人餐饮服务未按规定制定、实施生产经营过程控制要求。当事人于2024年11月11日因餐饮服务未按规定制定、实施生产经营过程控制要求被我局处罚过。</w:t>
      </w:r>
    </w:p>
    <w:p w14:paraId="562AB2EF">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以上事实，由</w:t>
      </w:r>
      <w:r>
        <w:rPr>
          <w:rFonts w:hint="eastAsia" w:ascii="仿宋_GB2312" w:hAnsi="仿宋_GB2312" w:eastAsia="仿宋_GB2312" w:cs="仿宋_GB2312"/>
          <w:color w:val="auto"/>
          <w:kern w:val="0"/>
          <w:sz w:val="32"/>
          <w:szCs w:val="32"/>
        </w:rPr>
        <w:t>现场笔录、询问笔录、照片、投诉单</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营业执照、食品经营许可证、身份证复印件</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当场行政处罚决定书（晋市监当罚〔2024〕01-1111-01号）</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授权委托书及代理人身份证复印件</w:t>
      </w:r>
      <w:r>
        <w:rPr>
          <w:rFonts w:hint="eastAsia" w:ascii="仿宋_GB2312" w:hAnsi="仿宋_GB2312" w:eastAsia="仿宋_GB2312" w:cs="仿宋_GB2312"/>
          <w:color w:val="auto"/>
          <w:sz w:val="32"/>
          <w:szCs w:val="32"/>
        </w:rPr>
        <w:t xml:space="preserve">等证据证明。  </w:t>
      </w:r>
    </w:p>
    <w:p w14:paraId="20CE81C6">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5月28</w:t>
      </w:r>
      <w:r>
        <w:rPr>
          <w:rFonts w:hint="eastAsia" w:ascii="仿宋_GB2312" w:hAnsi="仿宋_GB2312" w:eastAsia="仿宋_GB2312" w:cs="仿宋_GB2312"/>
          <w:color w:val="auto"/>
          <w:sz w:val="32"/>
          <w:szCs w:val="32"/>
        </w:rPr>
        <w:t>日，本局向当事人直接送达晋市监罚告[202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01-</w:t>
      </w:r>
      <w:r>
        <w:rPr>
          <w:rFonts w:hint="eastAsia" w:ascii="仿宋_GB2312" w:hAnsi="仿宋_GB2312" w:eastAsia="仿宋_GB2312" w:cs="仿宋_GB2312"/>
          <w:color w:val="auto"/>
          <w:sz w:val="32"/>
          <w:szCs w:val="32"/>
          <w:lang w:val="en-US" w:eastAsia="zh-CN"/>
        </w:rPr>
        <w:t>152</w:t>
      </w:r>
      <w:r>
        <w:rPr>
          <w:rFonts w:hint="eastAsia" w:ascii="仿宋_GB2312" w:hAnsi="仿宋_GB2312" w:eastAsia="仿宋_GB2312" w:cs="仿宋_GB2312"/>
          <w:color w:val="auto"/>
          <w:sz w:val="32"/>
          <w:szCs w:val="32"/>
        </w:rPr>
        <w:t xml:space="preserve">号《行政处罚告知书》，当事人未在法定期限内提出陈述或申辩。  </w:t>
      </w:r>
    </w:p>
    <w:p w14:paraId="7CB53540">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局认为：《中华人民共和国食品安全法》第三十三条第一款第（二）项规定：食品生产经营者要“具有与生产经营的食品品种、数量相适应的生产经营设备或者设施，有相应的消毒、更衣、盥洗、采光、照明、通风、防腐、防尘、防蝇、防鼠、防虫、洗涤以及处理废水、存放垃圾和废弃物的设备或者设施。”当事人上述行为违反了该规定，构成餐饮服务未按规定制定、实施生产经营过程控制要求的违法行为。依据《中华人民共和国食品安全法》第一百二十六条第一款第十三项规定“违反本法规定，有下列情形之一的，由县级以上人民政府食品安全监督管理部门责令改正，给予警告；拒不改正的，处五千元以上五万元以下罚款；情节严重的，责令停产停业，直至吊销许可证：（十三）食品生产企业、餐饮服务提供者未按规定制定、实施生产经营过程控制要求。”应当责令当事人改正，给予警告；拒不改正的，处五千元以上五万元以下罚款；情节严重的，责令停产停业，直至吊销许可证的行政处罚。</w:t>
      </w:r>
    </w:p>
    <w:p w14:paraId="67DEF79C">
      <w:pPr>
        <w:keepNext w:val="0"/>
        <w:keepLines w:val="0"/>
        <w:pageBreakBefore w:val="0"/>
        <w:widowControl/>
        <w:kinsoku/>
        <w:wordWrap/>
        <w:overflowPunct/>
        <w:topLinePunct w:val="0"/>
        <w:autoSpaceDE/>
        <w:autoSpaceDN/>
        <w:bidi w:val="0"/>
        <w:adjustRightInd/>
        <w:snapToGrid w:val="0"/>
        <w:spacing w:line="44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鉴于当事人积极配合市场监督管理部门调查，如实陈述违法事实并主动提供证据材料的，符合《福建省市场监督管理行政处罚裁量权适用规则》第十一条第（二）项从轻情节，参照《福建省市场监督管理系统适用&lt;</w:t>
      </w:r>
      <w:r>
        <w:rPr>
          <w:rFonts w:hint="eastAsia" w:ascii="仿宋_GB2312" w:hAnsi="仿宋_GB2312" w:eastAsia="仿宋_GB2312" w:cs="仿宋_GB2312"/>
          <w:color w:val="auto"/>
          <w:sz w:val="32"/>
          <w:szCs w:val="32"/>
          <w:lang w:eastAsia="zh-CN"/>
        </w:rPr>
        <w:t>中华人民共和国</w:t>
      </w:r>
      <w:bookmarkStart w:id="0" w:name="_GoBack"/>
      <w:bookmarkEnd w:id="0"/>
      <w:r>
        <w:rPr>
          <w:rFonts w:hint="eastAsia" w:ascii="仿宋_GB2312" w:hAnsi="仿宋_GB2312" w:eastAsia="仿宋_GB2312" w:cs="仿宋_GB2312"/>
          <w:color w:val="auto"/>
          <w:sz w:val="32"/>
          <w:szCs w:val="32"/>
        </w:rPr>
        <w:t>食品安全法&gt;行政处罚裁量基准》条款代号SP-5予以从轻情节量罚。</w:t>
      </w:r>
    </w:p>
    <w:p w14:paraId="5343E8D4">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依据《中华人民共和国食品安全法》第一百二十六条第一款第（十三）项之规定，</w:t>
      </w:r>
      <w:r>
        <w:rPr>
          <w:rFonts w:hint="eastAsia" w:ascii="仿宋_GB2312" w:hAnsi="仿宋_GB2312" w:eastAsia="仿宋_GB2312" w:cs="仿宋_GB2312"/>
          <w:color w:val="auto"/>
          <w:sz w:val="32"/>
          <w:szCs w:val="32"/>
          <w:u w:val="none"/>
        </w:rPr>
        <w:t>本局决定</w:t>
      </w:r>
      <w:r>
        <w:rPr>
          <w:rFonts w:hint="eastAsia" w:ascii="仿宋_GB2312" w:hAnsi="仿宋_GB2312" w:eastAsia="仿宋_GB2312" w:cs="仿宋_GB2312"/>
          <w:color w:val="auto"/>
          <w:sz w:val="32"/>
          <w:szCs w:val="32"/>
        </w:rPr>
        <w:t>对当事人责令改正</w:t>
      </w:r>
      <w:r>
        <w:rPr>
          <w:rFonts w:hint="eastAsia" w:ascii="仿宋_GB2312" w:hAnsi="仿宋_GB2312" w:eastAsia="仿宋_GB2312" w:cs="仿宋_GB2312"/>
          <w:bCs/>
          <w:color w:val="auto"/>
          <w:sz w:val="32"/>
          <w:szCs w:val="32"/>
        </w:rPr>
        <w:t>并作出如下行政处罚</w:t>
      </w:r>
      <w:r>
        <w:rPr>
          <w:rFonts w:hint="eastAsia" w:ascii="仿宋_GB2312" w:hAnsi="仿宋_GB2312" w:eastAsia="仿宋_GB2312" w:cs="仿宋_GB2312"/>
          <w:color w:val="auto"/>
          <w:sz w:val="32"/>
          <w:szCs w:val="32"/>
        </w:rPr>
        <w:t>：罚款5000元。</w:t>
      </w:r>
    </w:p>
    <w:p w14:paraId="24DF7554">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以上款项合计</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000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3A6F8601">
      <w:pPr>
        <w:keepNext w:val="0"/>
        <w:keepLines w:val="0"/>
        <w:pageBreakBefore w:val="0"/>
        <w:kinsoku/>
        <w:wordWrap/>
        <w:overflowPunct/>
        <w:topLinePunct w:val="0"/>
        <w:autoSpaceDE/>
        <w:autoSpaceDN/>
        <w:bidi w:val="0"/>
        <w:adjustRightInd/>
        <w:snapToGrid w:val="0"/>
        <w:spacing w:line="4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当事人如不服本处罚决定，可在接到本处罚决定书之日起60日内向晋江市人民政府申请行政复议，或在6个月内依法向</w:t>
      </w:r>
      <w:r>
        <w:rPr>
          <w:rFonts w:hint="eastAsia" w:ascii="仿宋_GB2312" w:hAnsi="仿宋_GB2312" w:eastAsia="仿宋_GB2312" w:cs="仿宋_GB2312"/>
          <w:color w:val="auto"/>
          <w:sz w:val="32"/>
          <w:szCs w:val="32"/>
          <w:lang w:eastAsia="zh-CN"/>
        </w:rPr>
        <w:t>洛江区</w:t>
      </w:r>
      <w:r>
        <w:rPr>
          <w:rFonts w:hint="eastAsia" w:ascii="仿宋_GB2312" w:hAnsi="仿宋_GB2312" w:eastAsia="仿宋_GB2312" w:cs="仿宋_GB2312"/>
          <w:color w:val="auto"/>
          <w:sz w:val="32"/>
          <w:szCs w:val="32"/>
        </w:rPr>
        <w:t xml:space="preserve">人民法院提起行政诉讼。当事人对行政处罚决定不服而申请行政复议或者提起行政诉讼期间，行政处罚不停止执行，法律、法规、规章另有规定的，从其规定。 </w:t>
      </w:r>
    </w:p>
    <w:p w14:paraId="5BA79A0D">
      <w:pPr>
        <w:keepNext w:val="0"/>
        <w:keepLines w:val="0"/>
        <w:pageBreakBefore w:val="0"/>
        <w:kinsoku/>
        <w:wordWrap/>
        <w:overflowPunct/>
        <w:topLinePunct w:val="0"/>
        <w:autoSpaceDE/>
        <w:autoSpaceDN/>
        <w:bidi w:val="0"/>
        <w:adjustRightInd/>
        <w:snapToGrid w:val="0"/>
        <w:spacing w:line="440" w:lineRule="exact"/>
        <w:ind w:firstLine="640" w:firstLineChars="200"/>
        <w:jc w:val="left"/>
        <w:textAlignment w:val="auto"/>
        <w:rPr>
          <w:rFonts w:hint="eastAsia" w:ascii="仿宋_GB2312" w:hAnsi="仿宋_GB2312" w:eastAsia="仿宋_GB2312" w:cs="仿宋_GB2312"/>
          <w:color w:val="auto"/>
          <w:sz w:val="32"/>
          <w:szCs w:val="32"/>
        </w:rPr>
      </w:pPr>
    </w:p>
    <w:p w14:paraId="41A00938">
      <w:pPr>
        <w:keepNext w:val="0"/>
        <w:keepLines w:val="0"/>
        <w:pageBreakBefore w:val="0"/>
        <w:kinsoku/>
        <w:wordWrap/>
        <w:overflowPunct/>
        <w:topLinePunct w:val="0"/>
        <w:autoSpaceDE/>
        <w:autoSpaceDN/>
        <w:bidi w:val="0"/>
        <w:adjustRightInd/>
        <w:snapToGrid w:val="0"/>
        <w:spacing w:line="440" w:lineRule="exact"/>
        <w:ind w:firstLine="640" w:firstLineChars="200"/>
        <w:jc w:val="left"/>
        <w:textAlignment w:val="auto"/>
        <w:rPr>
          <w:rFonts w:hint="eastAsia" w:ascii="仿宋_GB2312" w:hAnsi="仿宋_GB2312" w:eastAsia="仿宋_GB2312" w:cs="仿宋_GB2312"/>
          <w:color w:val="auto"/>
          <w:sz w:val="32"/>
          <w:szCs w:val="32"/>
        </w:rPr>
      </w:pPr>
    </w:p>
    <w:p w14:paraId="2EAB659B">
      <w:pPr>
        <w:keepNext w:val="0"/>
        <w:keepLines w:val="0"/>
        <w:pageBreakBefore w:val="0"/>
        <w:kinsoku/>
        <w:wordWrap/>
        <w:overflowPunct/>
        <w:topLinePunct w:val="0"/>
        <w:autoSpaceDE/>
        <w:autoSpaceDN/>
        <w:bidi w:val="0"/>
        <w:adjustRightInd/>
        <w:snapToGrid w:val="0"/>
        <w:spacing w:line="440" w:lineRule="exact"/>
        <w:ind w:firstLine="640" w:firstLineChars="200"/>
        <w:jc w:val="left"/>
        <w:textAlignment w:val="auto"/>
        <w:rPr>
          <w:rFonts w:hint="eastAsia" w:ascii="仿宋_GB2312" w:hAnsi="仿宋_GB2312" w:eastAsia="仿宋_GB2312" w:cs="仿宋_GB2312"/>
          <w:color w:val="auto"/>
          <w:sz w:val="32"/>
          <w:szCs w:val="32"/>
        </w:rPr>
      </w:pPr>
    </w:p>
    <w:p w14:paraId="5D913394">
      <w:pPr>
        <w:keepNext w:val="0"/>
        <w:keepLines w:val="0"/>
        <w:pageBreakBefore w:val="0"/>
        <w:kinsoku/>
        <w:wordWrap/>
        <w:overflowPunct/>
        <w:topLinePunct w:val="0"/>
        <w:autoSpaceDE/>
        <w:autoSpaceDN/>
        <w:bidi w:val="0"/>
        <w:adjustRightInd/>
        <w:snapToGrid w:val="0"/>
        <w:spacing w:line="440" w:lineRule="exact"/>
        <w:ind w:firstLine="601"/>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晋江市市场监督管理局</w:t>
      </w:r>
    </w:p>
    <w:p w14:paraId="1E1CACEC">
      <w:pPr>
        <w:keepNext w:val="0"/>
        <w:keepLines w:val="0"/>
        <w:pageBreakBefore w:val="0"/>
        <w:kinsoku/>
        <w:wordWrap/>
        <w:overflowPunct/>
        <w:topLinePunct w:val="0"/>
        <w:autoSpaceDE/>
        <w:autoSpaceDN/>
        <w:bidi w:val="0"/>
        <w:adjustRightInd/>
        <w:snapToGrid w:val="0"/>
        <w:spacing w:line="440" w:lineRule="exact"/>
        <w:jc w:val="right"/>
        <w:textAlignment w:val="auto"/>
        <w:rPr>
          <w:rFonts w:ascii="仿宋" w:hAnsi="仿宋" w:eastAsia="仿宋" w:cs="仿宋"/>
          <w:color w:val="auto"/>
          <w:sz w:val="32"/>
          <w:szCs w:val="32"/>
        </w:rPr>
      </w:pPr>
      <w:r>
        <w:rPr>
          <w:rFonts w:hint="eastAsia" w:ascii="仿宋_GB2312" w:hAnsi="仿宋_GB2312" w:eastAsia="仿宋_GB2312" w:cs="仿宋_GB2312"/>
          <w:color w:val="auto"/>
          <w:sz w:val="32"/>
          <w:szCs w:val="32"/>
        </w:rPr>
        <w:t xml:space="preserve">          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6月4</w:t>
      </w:r>
      <w:r>
        <w:rPr>
          <w:rFonts w:hint="eastAsia" w:ascii="仿宋_GB2312" w:hAnsi="仿宋_GB2312" w:eastAsia="仿宋_GB2312" w:cs="仿宋_GB2312"/>
          <w:color w:val="auto"/>
          <w:sz w:val="32"/>
          <w:szCs w:val="32"/>
        </w:rPr>
        <w:t>日</w:t>
      </w:r>
    </w:p>
    <w:p w14:paraId="0180404B">
      <w:pPr>
        <w:spacing w:line="500" w:lineRule="exact"/>
        <w:rPr>
          <w:rFonts w:ascii="仿宋_GB2312" w:hAnsi="仿宋" w:eastAsia="仿宋_GB2312" w:cs="Times New Roman"/>
          <w:color w:val="auto"/>
          <w:sz w:val="32"/>
          <w:szCs w:val="32"/>
        </w:rPr>
      </w:pPr>
      <w:r>
        <w:rPr>
          <w:rFonts w:hint="eastAsia" w:ascii="仿宋_GB2312" w:hAnsi="仿宋" w:eastAsia="仿宋_GB2312" w:cs="Times New Roman"/>
          <w:color w:val="auto"/>
          <w:sz w:val="32"/>
          <w:szCs w:val="32"/>
        </w:rPr>
        <w:t xml:space="preserve"> </w:t>
      </w:r>
    </w:p>
    <w:p w14:paraId="35901EC1">
      <w:pPr>
        <w:rPr>
          <w:rFonts w:hint="eastAsia"/>
          <w:lang w:eastAsia="zh-CN"/>
        </w:rPr>
      </w:pP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6252B">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w:t>
    </w:r>
  </w:p>
  <w:p w14:paraId="3E7668D1">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2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5C52"/>
    <w:rsid w:val="00007764"/>
    <w:rsid w:val="00007A02"/>
    <w:rsid w:val="000248F3"/>
    <w:rsid w:val="00034496"/>
    <w:rsid w:val="00037806"/>
    <w:rsid w:val="00040F02"/>
    <w:rsid w:val="0004759F"/>
    <w:rsid w:val="000743AE"/>
    <w:rsid w:val="00076947"/>
    <w:rsid w:val="00077A72"/>
    <w:rsid w:val="00077DE6"/>
    <w:rsid w:val="000A0EAA"/>
    <w:rsid w:val="000A23C0"/>
    <w:rsid w:val="000A5D28"/>
    <w:rsid w:val="000B0D42"/>
    <w:rsid w:val="000C3E68"/>
    <w:rsid w:val="000D7EE2"/>
    <w:rsid w:val="000E35B4"/>
    <w:rsid w:val="001044FE"/>
    <w:rsid w:val="001055EC"/>
    <w:rsid w:val="00114448"/>
    <w:rsid w:val="00126331"/>
    <w:rsid w:val="0013456D"/>
    <w:rsid w:val="00140948"/>
    <w:rsid w:val="00143B8C"/>
    <w:rsid w:val="00153BEB"/>
    <w:rsid w:val="001779F3"/>
    <w:rsid w:val="001A3074"/>
    <w:rsid w:val="001B0254"/>
    <w:rsid w:val="001B40E4"/>
    <w:rsid w:val="001B52A1"/>
    <w:rsid w:val="001D4034"/>
    <w:rsid w:val="001F327B"/>
    <w:rsid w:val="00204476"/>
    <w:rsid w:val="00231D99"/>
    <w:rsid w:val="00235707"/>
    <w:rsid w:val="0023661B"/>
    <w:rsid w:val="00246A8D"/>
    <w:rsid w:val="00254D23"/>
    <w:rsid w:val="002576B9"/>
    <w:rsid w:val="00257DD1"/>
    <w:rsid w:val="00291604"/>
    <w:rsid w:val="002A15A0"/>
    <w:rsid w:val="002C15E7"/>
    <w:rsid w:val="002C1F2A"/>
    <w:rsid w:val="002C30A0"/>
    <w:rsid w:val="002C43EA"/>
    <w:rsid w:val="00316F22"/>
    <w:rsid w:val="003209F0"/>
    <w:rsid w:val="00342439"/>
    <w:rsid w:val="00345C90"/>
    <w:rsid w:val="0034617A"/>
    <w:rsid w:val="00361A24"/>
    <w:rsid w:val="00365D56"/>
    <w:rsid w:val="00367629"/>
    <w:rsid w:val="0037516E"/>
    <w:rsid w:val="00393749"/>
    <w:rsid w:val="003A7A6D"/>
    <w:rsid w:val="003B2CB3"/>
    <w:rsid w:val="003B4FFA"/>
    <w:rsid w:val="003C7762"/>
    <w:rsid w:val="003D0AEB"/>
    <w:rsid w:val="003E15D4"/>
    <w:rsid w:val="00401A24"/>
    <w:rsid w:val="00401D9C"/>
    <w:rsid w:val="00406FAB"/>
    <w:rsid w:val="00412F44"/>
    <w:rsid w:val="00435755"/>
    <w:rsid w:val="00451E9B"/>
    <w:rsid w:val="00455977"/>
    <w:rsid w:val="004563B1"/>
    <w:rsid w:val="00484231"/>
    <w:rsid w:val="004A236B"/>
    <w:rsid w:val="004A3F4C"/>
    <w:rsid w:val="004B1549"/>
    <w:rsid w:val="004B4907"/>
    <w:rsid w:val="004C3ED8"/>
    <w:rsid w:val="004C40F0"/>
    <w:rsid w:val="004D0567"/>
    <w:rsid w:val="004D18F8"/>
    <w:rsid w:val="004D3A40"/>
    <w:rsid w:val="004E4338"/>
    <w:rsid w:val="004E5958"/>
    <w:rsid w:val="004F1E42"/>
    <w:rsid w:val="0050052A"/>
    <w:rsid w:val="0050065D"/>
    <w:rsid w:val="005010C0"/>
    <w:rsid w:val="00510CFC"/>
    <w:rsid w:val="00522964"/>
    <w:rsid w:val="00540AD0"/>
    <w:rsid w:val="00542F70"/>
    <w:rsid w:val="00550C02"/>
    <w:rsid w:val="00555393"/>
    <w:rsid w:val="005643CF"/>
    <w:rsid w:val="00565052"/>
    <w:rsid w:val="005767F9"/>
    <w:rsid w:val="005870C9"/>
    <w:rsid w:val="00593B93"/>
    <w:rsid w:val="0059535A"/>
    <w:rsid w:val="005D6875"/>
    <w:rsid w:val="005E0F35"/>
    <w:rsid w:val="005F2547"/>
    <w:rsid w:val="005F7EBF"/>
    <w:rsid w:val="0060093F"/>
    <w:rsid w:val="00601876"/>
    <w:rsid w:val="006134DB"/>
    <w:rsid w:val="00613C75"/>
    <w:rsid w:val="00613F3D"/>
    <w:rsid w:val="0062116A"/>
    <w:rsid w:val="0063101E"/>
    <w:rsid w:val="00634CC3"/>
    <w:rsid w:val="00641880"/>
    <w:rsid w:val="0064298B"/>
    <w:rsid w:val="0064416B"/>
    <w:rsid w:val="00655E6A"/>
    <w:rsid w:val="0067063C"/>
    <w:rsid w:val="0067073C"/>
    <w:rsid w:val="006753E5"/>
    <w:rsid w:val="00693CE6"/>
    <w:rsid w:val="006A4F3C"/>
    <w:rsid w:val="006A5923"/>
    <w:rsid w:val="006A77B8"/>
    <w:rsid w:val="006D6D9E"/>
    <w:rsid w:val="006E343B"/>
    <w:rsid w:val="006E5E74"/>
    <w:rsid w:val="0070356E"/>
    <w:rsid w:val="007153FC"/>
    <w:rsid w:val="00727A76"/>
    <w:rsid w:val="00750735"/>
    <w:rsid w:val="007530C4"/>
    <w:rsid w:val="007531C7"/>
    <w:rsid w:val="0076529B"/>
    <w:rsid w:val="00774EFC"/>
    <w:rsid w:val="00775D2F"/>
    <w:rsid w:val="00777B33"/>
    <w:rsid w:val="00787563"/>
    <w:rsid w:val="007A0E52"/>
    <w:rsid w:val="007A37A6"/>
    <w:rsid w:val="007B288C"/>
    <w:rsid w:val="007C0A45"/>
    <w:rsid w:val="007E18A5"/>
    <w:rsid w:val="007E3F36"/>
    <w:rsid w:val="008031CC"/>
    <w:rsid w:val="008039B9"/>
    <w:rsid w:val="00807214"/>
    <w:rsid w:val="00816852"/>
    <w:rsid w:val="00821D7F"/>
    <w:rsid w:val="00832483"/>
    <w:rsid w:val="00836751"/>
    <w:rsid w:val="008429FC"/>
    <w:rsid w:val="00864F31"/>
    <w:rsid w:val="00885A3D"/>
    <w:rsid w:val="0088734E"/>
    <w:rsid w:val="008948D5"/>
    <w:rsid w:val="00895640"/>
    <w:rsid w:val="008B0B57"/>
    <w:rsid w:val="008B55D8"/>
    <w:rsid w:val="008C0D6D"/>
    <w:rsid w:val="008C14F2"/>
    <w:rsid w:val="008C2317"/>
    <w:rsid w:val="008C3D24"/>
    <w:rsid w:val="008E1178"/>
    <w:rsid w:val="008F73B6"/>
    <w:rsid w:val="00907178"/>
    <w:rsid w:val="00910820"/>
    <w:rsid w:val="00915841"/>
    <w:rsid w:val="00943E08"/>
    <w:rsid w:val="00945347"/>
    <w:rsid w:val="00960A92"/>
    <w:rsid w:val="00971C32"/>
    <w:rsid w:val="00993AC0"/>
    <w:rsid w:val="00993F3D"/>
    <w:rsid w:val="009958BF"/>
    <w:rsid w:val="009A18D3"/>
    <w:rsid w:val="009C5839"/>
    <w:rsid w:val="009C5986"/>
    <w:rsid w:val="009D589C"/>
    <w:rsid w:val="009F1668"/>
    <w:rsid w:val="009F35A6"/>
    <w:rsid w:val="00A07E1D"/>
    <w:rsid w:val="00A17B66"/>
    <w:rsid w:val="00A31FE1"/>
    <w:rsid w:val="00A37262"/>
    <w:rsid w:val="00A43834"/>
    <w:rsid w:val="00A53F0B"/>
    <w:rsid w:val="00A549A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4481B"/>
    <w:rsid w:val="00B51FFA"/>
    <w:rsid w:val="00B61458"/>
    <w:rsid w:val="00B62E7A"/>
    <w:rsid w:val="00B66630"/>
    <w:rsid w:val="00B66D63"/>
    <w:rsid w:val="00B83175"/>
    <w:rsid w:val="00BA3308"/>
    <w:rsid w:val="00BB3222"/>
    <w:rsid w:val="00BB371A"/>
    <w:rsid w:val="00BC4F4E"/>
    <w:rsid w:val="00BD1878"/>
    <w:rsid w:val="00BD4131"/>
    <w:rsid w:val="00BD69A7"/>
    <w:rsid w:val="00BD78C9"/>
    <w:rsid w:val="00BE14AE"/>
    <w:rsid w:val="00BE24F5"/>
    <w:rsid w:val="00BE671D"/>
    <w:rsid w:val="00BF1A59"/>
    <w:rsid w:val="00BF3997"/>
    <w:rsid w:val="00C00611"/>
    <w:rsid w:val="00C00DFD"/>
    <w:rsid w:val="00C179D8"/>
    <w:rsid w:val="00C223E1"/>
    <w:rsid w:val="00C22D03"/>
    <w:rsid w:val="00C26BA9"/>
    <w:rsid w:val="00C27F5A"/>
    <w:rsid w:val="00C315A2"/>
    <w:rsid w:val="00C44A08"/>
    <w:rsid w:val="00C46647"/>
    <w:rsid w:val="00C644A3"/>
    <w:rsid w:val="00C64EB8"/>
    <w:rsid w:val="00C744AD"/>
    <w:rsid w:val="00C8768E"/>
    <w:rsid w:val="00CA277B"/>
    <w:rsid w:val="00CB07D7"/>
    <w:rsid w:val="00CB40F1"/>
    <w:rsid w:val="00CC4DA2"/>
    <w:rsid w:val="00CC6C25"/>
    <w:rsid w:val="00CD2941"/>
    <w:rsid w:val="00CD3255"/>
    <w:rsid w:val="00CD33E5"/>
    <w:rsid w:val="00CF4B8B"/>
    <w:rsid w:val="00D04055"/>
    <w:rsid w:val="00D073EF"/>
    <w:rsid w:val="00D07FA5"/>
    <w:rsid w:val="00D22376"/>
    <w:rsid w:val="00D31F55"/>
    <w:rsid w:val="00D33C8B"/>
    <w:rsid w:val="00D46980"/>
    <w:rsid w:val="00D53F8E"/>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21401"/>
    <w:rsid w:val="00E23B62"/>
    <w:rsid w:val="00E36AB3"/>
    <w:rsid w:val="00E54C6D"/>
    <w:rsid w:val="00E558FA"/>
    <w:rsid w:val="00E72F7C"/>
    <w:rsid w:val="00E820CD"/>
    <w:rsid w:val="00E97C53"/>
    <w:rsid w:val="00EA3F89"/>
    <w:rsid w:val="00EB3F5F"/>
    <w:rsid w:val="00EC0853"/>
    <w:rsid w:val="00EC1394"/>
    <w:rsid w:val="00EC743D"/>
    <w:rsid w:val="00EE276D"/>
    <w:rsid w:val="00F05F79"/>
    <w:rsid w:val="00F06E2B"/>
    <w:rsid w:val="00F07D35"/>
    <w:rsid w:val="00F35474"/>
    <w:rsid w:val="00F5146E"/>
    <w:rsid w:val="00F6001B"/>
    <w:rsid w:val="00F85AF5"/>
    <w:rsid w:val="00F92A07"/>
    <w:rsid w:val="00FA68F7"/>
    <w:rsid w:val="00FB7E94"/>
    <w:rsid w:val="00FC0159"/>
    <w:rsid w:val="00FC5219"/>
    <w:rsid w:val="00FC57CE"/>
    <w:rsid w:val="00FE67A7"/>
    <w:rsid w:val="0A9E0882"/>
    <w:rsid w:val="16B16849"/>
    <w:rsid w:val="17BE75D5"/>
    <w:rsid w:val="1A033433"/>
    <w:rsid w:val="1D7959C2"/>
    <w:rsid w:val="28690811"/>
    <w:rsid w:val="4861719E"/>
    <w:rsid w:val="4DCE3FD1"/>
    <w:rsid w:val="4F965EA1"/>
    <w:rsid w:val="50D46083"/>
    <w:rsid w:val="5A2D67C8"/>
    <w:rsid w:val="5ED54917"/>
    <w:rsid w:val="62EF0B51"/>
    <w:rsid w:val="648B4CB0"/>
    <w:rsid w:val="6B675071"/>
    <w:rsid w:val="6E317349"/>
    <w:rsid w:val="74570C71"/>
    <w:rsid w:val="753308A7"/>
    <w:rsid w:val="7D71772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1800</Words>
  <Characters>1910</Characters>
  <Lines>7</Lines>
  <Paragraphs>2</Paragraphs>
  <TotalTime>8</TotalTime>
  <ScaleCrop>false</ScaleCrop>
  <LinksUpToDate>false</LinksUpToDate>
  <CharactersWithSpaces>1947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2021-03-24T08:47:00Z</dcterms:created>
  <dc:creator>Administrator</dc:creator>
  <cp:lastModifiedBy>天天8871</cp:lastModifiedBy>
  <cp:lastPrinted>2021-01-20T01:31:00Z</cp:lastPrinted>
  <dcterms:modified xsi:type="dcterms:W3CDTF">2025-09-22T01:21:15Z</dcterms:modified>
  <dc:title>晋江市市场监督管理局</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95ECA369CA5C49A697E97DA3B700AE3F_12</vt:lpwstr>
  </property>
</Properties>
</file>